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2743" w14:textId="50284340" w:rsidR="000E7A00" w:rsidRPr="000925E6" w:rsidRDefault="000925E6" w:rsidP="000925E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925E6">
        <w:rPr>
          <w:b/>
          <w:sz w:val="32"/>
          <w:szCs w:val="32"/>
        </w:rPr>
        <w:t>Access Report Examples</w:t>
      </w:r>
    </w:p>
    <w:p w14:paraId="267CB3F3" w14:textId="565C45A2" w:rsidR="00F55E10" w:rsidRPr="000925E6" w:rsidRDefault="000925E6" w:rsidP="000925E6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925E6">
        <w:rPr>
          <w:rFonts w:cstheme="minorHAnsi"/>
          <w:b/>
          <w:sz w:val="24"/>
          <w:szCs w:val="24"/>
        </w:rPr>
        <w:t>WPH Office of Academic Computing</w:t>
      </w:r>
    </w:p>
    <w:p w14:paraId="1BC64D22" w14:textId="77777777" w:rsidR="00F55E10" w:rsidRDefault="00F55E10" w:rsidP="00F55E10">
      <w:pPr>
        <w:spacing w:line="240" w:lineRule="auto"/>
        <w:contextualSpacing/>
        <w:rPr>
          <w:bCs/>
          <w:i/>
          <w:iCs/>
          <w:sz w:val="24"/>
        </w:rPr>
      </w:pPr>
    </w:p>
    <w:p w14:paraId="61762045" w14:textId="03540EB0" w:rsidR="000E7A00" w:rsidRPr="00BF6688" w:rsidRDefault="006700EE" w:rsidP="001245FA">
      <w:pPr>
        <w:spacing w:line="240" w:lineRule="auto"/>
        <w:contextualSpacing/>
        <w:rPr>
          <w:rFonts w:cstheme="minorHAnsi"/>
          <w:bCs/>
        </w:rPr>
      </w:pPr>
      <w:r w:rsidRPr="00BF6688">
        <w:rPr>
          <w:rFonts w:cstheme="minorHAnsi"/>
          <w:bCs/>
        </w:rPr>
        <w:t>Below you will find some examples of existing Access report</w:t>
      </w:r>
      <w:r w:rsidR="0087158B">
        <w:rPr>
          <w:rFonts w:cstheme="minorHAnsi"/>
          <w:bCs/>
        </w:rPr>
        <w:t>s</w:t>
      </w:r>
      <w:r w:rsidRPr="00BF6688">
        <w:rPr>
          <w:rFonts w:cstheme="minorHAnsi"/>
          <w:bCs/>
        </w:rPr>
        <w:t xml:space="preserve"> that </w:t>
      </w:r>
      <w:r w:rsidR="0087158B">
        <w:rPr>
          <w:rFonts w:cstheme="minorHAnsi"/>
          <w:bCs/>
        </w:rPr>
        <w:t>are</w:t>
      </w:r>
      <w:r w:rsidRPr="00BF6688">
        <w:rPr>
          <w:rFonts w:cstheme="minorHAnsi"/>
          <w:bCs/>
        </w:rPr>
        <w:t xml:space="preserve"> programmed by the OAC </w:t>
      </w:r>
      <w:r w:rsidR="00427A88">
        <w:rPr>
          <w:rFonts w:cstheme="minorHAnsi"/>
          <w:bCs/>
        </w:rPr>
        <w:t>and used across various</w:t>
      </w:r>
      <w:r w:rsidRPr="00BF6688">
        <w:rPr>
          <w:rFonts w:cstheme="minorHAnsi"/>
          <w:bCs/>
        </w:rPr>
        <w:t xml:space="preserve"> studies.  If </w:t>
      </w:r>
      <w:r w:rsidR="001245FA" w:rsidRPr="00BF6688">
        <w:rPr>
          <w:rFonts w:cstheme="minorHAnsi"/>
          <w:bCs/>
        </w:rPr>
        <w:t>you would like to incorporate any of the</w:t>
      </w:r>
      <w:r w:rsidR="00427A88">
        <w:rPr>
          <w:rFonts w:cstheme="minorHAnsi"/>
          <w:bCs/>
        </w:rPr>
        <w:t xml:space="preserve"> below</w:t>
      </w:r>
      <w:r w:rsidR="001245FA" w:rsidRPr="00BF6688">
        <w:rPr>
          <w:rFonts w:cstheme="minorHAnsi"/>
          <w:bCs/>
        </w:rPr>
        <w:t xml:space="preserve"> into the Access </w:t>
      </w:r>
      <w:r w:rsidR="0087158B">
        <w:rPr>
          <w:rFonts w:cstheme="minorHAnsi"/>
          <w:bCs/>
        </w:rPr>
        <w:t xml:space="preserve">reporting </w:t>
      </w:r>
      <w:r w:rsidR="001245FA" w:rsidRPr="00BF6688">
        <w:rPr>
          <w:rFonts w:cstheme="minorHAnsi"/>
          <w:bCs/>
        </w:rPr>
        <w:t xml:space="preserve">portion of your study, please make a note of the report name in </w:t>
      </w:r>
      <w:r w:rsidR="003F4F17" w:rsidRPr="00BF6688">
        <w:rPr>
          <w:rFonts w:cstheme="minorHAnsi"/>
          <w:bCs/>
        </w:rPr>
        <w:t xml:space="preserve">Question </w:t>
      </w:r>
      <w:r w:rsidR="00576804">
        <w:rPr>
          <w:rFonts w:cstheme="minorHAnsi"/>
          <w:bCs/>
        </w:rPr>
        <w:t xml:space="preserve">11 </w:t>
      </w:r>
      <w:r w:rsidR="001245FA" w:rsidRPr="00BF6688">
        <w:rPr>
          <w:rFonts w:cstheme="minorHAnsi"/>
          <w:bCs/>
        </w:rPr>
        <w:t>within</w:t>
      </w:r>
      <w:r w:rsidR="0087158B">
        <w:rPr>
          <w:rFonts w:cstheme="minorHAnsi"/>
          <w:bCs/>
        </w:rPr>
        <w:t xml:space="preserve"> </w:t>
      </w:r>
      <w:r w:rsidR="0087158B" w:rsidRPr="00CD062B">
        <w:rPr>
          <w:rFonts w:cstheme="minorHAnsi"/>
          <w:bCs/>
        </w:rPr>
        <w:t>the</w:t>
      </w:r>
      <w:r w:rsidR="001245FA" w:rsidRPr="00CD062B">
        <w:rPr>
          <w:rFonts w:cstheme="minorHAnsi"/>
          <w:bCs/>
        </w:rPr>
        <w:t xml:space="preserve"> ‘</w:t>
      </w:r>
      <w:r w:rsidR="001245FA" w:rsidRPr="00CD062B">
        <w:rPr>
          <w:rFonts w:cstheme="minorHAnsi"/>
          <w:bCs/>
          <w:i/>
          <w:iCs/>
        </w:rPr>
        <w:t>Database Requirements, Access Components and Reporting – Project Specifications Worksheet</w:t>
      </w:r>
      <w:r w:rsidR="001245FA" w:rsidRPr="00CD062B">
        <w:rPr>
          <w:rFonts w:cstheme="minorHAnsi"/>
          <w:bCs/>
        </w:rPr>
        <w:t>’ document</w:t>
      </w:r>
      <w:r w:rsidR="001245FA" w:rsidRPr="00BF6688">
        <w:rPr>
          <w:rFonts w:cstheme="minorHAnsi"/>
          <w:bCs/>
        </w:rPr>
        <w:t>.</w:t>
      </w:r>
    </w:p>
    <w:p w14:paraId="63AF9FF1" w14:textId="77777777" w:rsidR="000E7A00" w:rsidRPr="00BF6688" w:rsidRDefault="000E7A00" w:rsidP="00F55E10">
      <w:pPr>
        <w:spacing w:line="240" w:lineRule="auto"/>
        <w:contextualSpacing/>
        <w:rPr>
          <w:b/>
        </w:rPr>
      </w:pPr>
    </w:p>
    <w:p w14:paraId="51366C81" w14:textId="093B5117" w:rsidR="000E7A00" w:rsidRPr="00BF6688" w:rsidRDefault="000E7A00" w:rsidP="00F55E10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BF6688">
        <w:rPr>
          <w:b/>
          <w:color w:val="FFFFFF" w:themeColor="background1"/>
        </w:rPr>
        <w:t xml:space="preserve">I. </w:t>
      </w:r>
      <w:r w:rsidR="004C5A88" w:rsidRPr="00BF6688">
        <w:rPr>
          <w:b/>
          <w:color w:val="FFFFFF" w:themeColor="background1"/>
        </w:rPr>
        <w:t>Progress Reports</w:t>
      </w:r>
    </w:p>
    <w:p w14:paraId="4EFFE666" w14:textId="702FA015" w:rsidR="00F55E10" w:rsidRPr="004C177E" w:rsidRDefault="000925E6" w:rsidP="00427A88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4C177E">
        <w:rPr>
          <w:b/>
        </w:rPr>
        <w:t>Number Screened</w:t>
      </w:r>
    </w:p>
    <w:p w14:paraId="6E1D33D9" w14:textId="7CEC3456" w:rsidR="000925E6" w:rsidRDefault="000925E6" w:rsidP="00427A88">
      <w:pPr>
        <w:pStyle w:val="ListParagraph"/>
        <w:spacing w:line="240" w:lineRule="auto"/>
        <w:ind w:left="0"/>
        <w:rPr>
          <w:bCs/>
          <w:i/>
          <w:iCs/>
        </w:rPr>
      </w:pPr>
      <w:r w:rsidRPr="00BF6688">
        <w:rPr>
          <w:bCs/>
          <w:i/>
          <w:iCs/>
        </w:rPr>
        <w:t xml:space="preserve">This report is often broken down by demographics and is pulled from </w:t>
      </w:r>
      <w:r w:rsidR="004C177E">
        <w:rPr>
          <w:bCs/>
          <w:i/>
          <w:iCs/>
        </w:rPr>
        <w:t>a</w:t>
      </w:r>
      <w:r w:rsidRPr="00BF6688">
        <w:rPr>
          <w:bCs/>
          <w:i/>
          <w:iCs/>
        </w:rPr>
        <w:t xml:space="preserve"> Screening Table</w:t>
      </w:r>
    </w:p>
    <w:p w14:paraId="33090B4D" w14:textId="49B36008" w:rsidR="000F19D0" w:rsidRPr="000F19D0" w:rsidRDefault="000F19D0" w:rsidP="000F19D0">
      <w:pPr>
        <w:pStyle w:val="ListParagraph"/>
        <w:spacing w:line="240" w:lineRule="auto"/>
        <w:ind w:left="0"/>
        <w:rPr>
          <w:bCs/>
        </w:rPr>
      </w:pPr>
      <w:r>
        <w:rPr>
          <w:noProof/>
        </w:rPr>
        <w:drawing>
          <wp:inline distT="0" distB="0" distL="0" distR="0" wp14:anchorId="0177F4B1" wp14:editId="2CABA458">
            <wp:extent cx="594360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5536"/>
                    <a:stretch/>
                  </pic:blipFill>
                  <pic:spPr bwMode="auto">
                    <a:xfrm>
                      <a:off x="0" y="0"/>
                      <a:ext cx="5943600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93C4C" w14:textId="7E7C2805" w:rsidR="000925E6" w:rsidRPr="00BF6688" w:rsidRDefault="000F19D0" w:rsidP="00393B72">
      <w:pPr>
        <w:pStyle w:val="ListParagraph"/>
        <w:spacing w:line="240" w:lineRule="auto"/>
        <w:ind w:left="0"/>
        <w:rPr>
          <w:bCs/>
        </w:rPr>
      </w:pPr>
      <w:r>
        <w:rPr>
          <w:noProof/>
        </w:rPr>
        <w:drawing>
          <wp:inline distT="0" distB="0" distL="0" distR="0" wp14:anchorId="7C18483D" wp14:editId="73FABE60">
            <wp:extent cx="5943600" cy="29895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573B" w14:textId="366CEA24" w:rsidR="000925E6" w:rsidRPr="00862C31" w:rsidRDefault="000925E6" w:rsidP="00427A88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862C31">
        <w:rPr>
          <w:b/>
        </w:rPr>
        <w:t>Number Eligible</w:t>
      </w:r>
    </w:p>
    <w:p w14:paraId="11A70D30" w14:textId="5F325331" w:rsidR="000925E6" w:rsidRDefault="000925E6" w:rsidP="00427A88">
      <w:pPr>
        <w:pStyle w:val="ListParagraph"/>
        <w:spacing w:line="240" w:lineRule="auto"/>
        <w:ind w:left="0"/>
        <w:rPr>
          <w:bCs/>
          <w:i/>
          <w:iCs/>
        </w:rPr>
      </w:pPr>
      <w:r w:rsidRPr="00BF6688">
        <w:rPr>
          <w:bCs/>
          <w:i/>
          <w:iCs/>
        </w:rPr>
        <w:t xml:space="preserve">This report is often broken down by demographics and reasons for ineligibility and is pulled from </w:t>
      </w:r>
      <w:r w:rsidR="00862C31">
        <w:rPr>
          <w:bCs/>
          <w:i/>
          <w:iCs/>
        </w:rPr>
        <w:t>a</w:t>
      </w:r>
      <w:r w:rsidRPr="00BF6688">
        <w:rPr>
          <w:bCs/>
          <w:i/>
          <w:iCs/>
        </w:rPr>
        <w:t xml:space="preserve"> Screening Table</w:t>
      </w:r>
    </w:p>
    <w:p w14:paraId="61A22640" w14:textId="77777777" w:rsidR="00393B72" w:rsidRPr="00393B72" w:rsidRDefault="00393B72" w:rsidP="00393B72">
      <w:pPr>
        <w:pStyle w:val="ListParagraph"/>
        <w:spacing w:line="240" w:lineRule="auto"/>
        <w:rPr>
          <w:bCs/>
          <w:i/>
          <w:iCs/>
        </w:rPr>
      </w:pPr>
    </w:p>
    <w:p w14:paraId="42EA3F11" w14:textId="50B1AEFF" w:rsidR="00F55E10" w:rsidRPr="00862C31" w:rsidRDefault="000925E6" w:rsidP="00427A88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862C31">
        <w:rPr>
          <w:b/>
        </w:rPr>
        <w:t>Number Enrolled</w:t>
      </w:r>
    </w:p>
    <w:p w14:paraId="31D2ACDE" w14:textId="690C0DF2" w:rsidR="000F19D0" w:rsidRPr="00B72C76" w:rsidRDefault="000925E6" w:rsidP="00427A88">
      <w:pPr>
        <w:pStyle w:val="ListParagraph"/>
        <w:spacing w:line="240" w:lineRule="auto"/>
        <w:ind w:left="0"/>
        <w:rPr>
          <w:bCs/>
          <w:i/>
          <w:iCs/>
        </w:rPr>
      </w:pPr>
      <w:r w:rsidRPr="00BF6688">
        <w:rPr>
          <w:bCs/>
          <w:i/>
          <w:iCs/>
        </w:rPr>
        <w:t>This report is often broken down by demographics.  For purposes of reporting, it is important to determine when a participant considered to be enrolled (when a study ID is given, a demographic form is completed, a record in a consent table, etc.)</w:t>
      </w:r>
    </w:p>
    <w:p w14:paraId="4ECABE4E" w14:textId="52F39D5D" w:rsidR="000F19D0" w:rsidRPr="000F19D0" w:rsidRDefault="000F19D0" w:rsidP="00427A88">
      <w:pPr>
        <w:pStyle w:val="ListParagraph"/>
        <w:spacing w:line="240" w:lineRule="auto"/>
        <w:ind w:left="0"/>
        <w:rPr>
          <w:bCs/>
        </w:rPr>
      </w:pPr>
      <w:r>
        <w:rPr>
          <w:noProof/>
        </w:rPr>
        <w:drawing>
          <wp:inline distT="0" distB="0" distL="0" distR="0" wp14:anchorId="66E8C942" wp14:editId="030BB61A">
            <wp:extent cx="5736566" cy="320032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78" r="1303" b="31661"/>
                    <a:stretch/>
                  </pic:blipFill>
                  <pic:spPr bwMode="auto">
                    <a:xfrm>
                      <a:off x="0" y="0"/>
                      <a:ext cx="5736708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FE530" w14:textId="42EC2145" w:rsidR="0015572B" w:rsidRPr="00393B72" w:rsidRDefault="000F19D0" w:rsidP="00427A88">
      <w:pPr>
        <w:pStyle w:val="ListParagraph"/>
        <w:spacing w:line="240" w:lineRule="auto"/>
        <w:ind w:left="0"/>
        <w:rPr>
          <w:bCs/>
        </w:rPr>
      </w:pPr>
      <w:r>
        <w:rPr>
          <w:noProof/>
        </w:rPr>
        <w:drawing>
          <wp:inline distT="0" distB="0" distL="0" distR="0" wp14:anchorId="45AE6E6F" wp14:editId="0702B969">
            <wp:extent cx="5891841" cy="1552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70" b="67265"/>
                    <a:stretch/>
                  </pic:blipFill>
                  <pic:spPr bwMode="auto">
                    <a:xfrm>
                      <a:off x="0" y="0"/>
                      <a:ext cx="5891841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F7197" w14:textId="2B64752C" w:rsidR="00F55E10" w:rsidRPr="00B72C76" w:rsidRDefault="000925E6" w:rsidP="00427A88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B72C76">
        <w:rPr>
          <w:b/>
        </w:rPr>
        <w:t>Number Withdrawn</w:t>
      </w:r>
    </w:p>
    <w:p w14:paraId="5FFA8831" w14:textId="7F24C657" w:rsidR="00CD30E9" w:rsidRDefault="00CD30E9" w:rsidP="00427A88">
      <w:pPr>
        <w:pStyle w:val="ListParagraph"/>
        <w:spacing w:line="240" w:lineRule="auto"/>
        <w:ind w:left="0"/>
        <w:rPr>
          <w:bCs/>
          <w:i/>
          <w:iCs/>
        </w:rPr>
      </w:pPr>
      <w:r w:rsidRPr="00BF6688">
        <w:rPr>
          <w:bCs/>
          <w:i/>
          <w:iCs/>
        </w:rPr>
        <w:t xml:space="preserve">This report is often broken down by reasons withdrawn and is pulled from </w:t>
      </w:r>
      <w:r w:rsidR="00B72C76">
        <w:rPr>
          <w:bCs/>
          <w:i/>
          <w:iCs/>
        </w:rPr>
        <w:t>a</w:t>
      </w:r>
      <w:r w:rsidRPr="00BF6688">
        <w:rPr>
          <w:bCs/>
          <w:i/>
          <w:iCs/>
        </w:rPr>
        <w:t xml:space="preserve"> Withdrawn table (foreign key for withdrawn reasons)</w:t>
      </w:r>
    </w:p>
    <w:p w14:paraId="40D9F629" w14:textId="77777777" w:rsidR="00427A88" w:rsidRDefault="00427A88" w:rsidP="00427A88">
      <w:pPr>
        <w:pStyle w:val="ListParagraph"/>
        <w:spacing w:line="240" w:lineRule="auto"/>
        <w:ind w:left="0"/>
        <w:rPr>
          <w:bCs/>
          <w:i/>
          <w:iCs/>
        </w:rPr>
      </w:pPr>
    </w:p>
    <w:p w14:paraId="45B7B989" w14:textId="46FD9AB8" w:rsidR="002F33DE" w:rsidRPr="002F33DE" w:rsidRDefault="002F33DE" w:rsidP="00427A88">
      <w:pPr>
        <w:pStyle w:val="ListParagraph"/>
        <w:spacing w:line="240" w:lineRule="auto"/>
        <w:ind w:left="0"/>
        <w:rPr>
          <w:bCs/>
        </w:rPr>
      </w:pPr>
      <w:r>
        <w:rPr>
          <w:noProof/>
        </w:rPr>
        <w:drawing>
          <wp:inline distT="0" distB="0" distL="0" distR="0" wp14:anchorId="0A25558C" wp14:editId="3E738C25">
            <wp:extent cx="4467225" cy="523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622" b="1224"/>
                    <a:stretch/>
                  </pic:blipFill>
                  <pic:spPr bwMode="auto">
                    <a:xfrm>
                      <a:off x="0" y="0"/>
                      <a:ext cx="44672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C7C17" w14:textId="77777777" w:rsidR="006D5495" w:rsidRPr="00BF6688" w:rsidRDefault="006D5495" w:rsidP="006D5495">
      <w:pPr>
        <w:pStyle w:val="ListParagraph"/>
        <w:spacing w:line="240" w:lineRule="auto"/>
        <w:rPr>
          <w:bCs/>
        </w:rPr>
      </w:pPr>
    </w:p>
    <w:p w14:paraId="3574B489" w14:textId="6807FDBD" w:rsidR="000925E6" w:rsidRPr="00B72C76" w:rsidRDefault="000925E6" w:rsidP="00427A88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B72C76">
        <w:rPr>
          <w:b/>
        </w:rPr>
        <w:t>Number of Timepoints Completed</w:t>
      </w:r>
    </w:p>
    <w:p w14:paraId="4B0D317B" w14:textId="4BD5F67C" w:rsidR="006E503F" w:rsidRPr="0011712F" w:rsidRDefault="00CD30E9" w:rsidP="00427A88">
      <w:pPr>
        <w:pStyle w:val="ListParagraph"/>
        <w:spacing w:line="240" w:lineRule="auto"/>
        <w:ind w:left="0"/>
        <w:rPr>
          <w:bCs/>
          <w:i/>
          <w:iCs/>
        </w:rPr>
      </w:pPr>
      <w:r w:rsidRPr="00BF6688">
        <w:rPr>
          <w:bCs/>
          <w:i/>
          <w:iCs/>
        </w:rPr>
        <w:t xml:space="preserve">This report captures the number of participants that have completed each timepoint and is pulled from </w:t>
      </w:r>
      <w:r w:rsidR="00B72C76">
        <w:rPr>
          <w:bCs/>
          <w:i/>
          <w:iCs/>
        </w:rPr>
        <w:t>a</w:t>
      </w:r>
      <w:r w:rsidRPr="00BF6688">
        <w:rPr>
          <w:bCs/>
          <w:i/>
          <w:iCs/>
        </w:rPr>
        <w:t xml:space="preserve"> Timepoint Complete table</w:t>
      </w:r>
      <w:r w:rsidR="006E503F">
        <w:rPr>
          <w:bCs/>
          <w:i/>
          <w:iCs/>
        </w:rPr>
        <w:t xml:space="preserve">.  </w:t>
      </w:r>
      <w:r w:rsidRPr="006E503F">
        <w:rPr>
          <w:bCs/>
          <w:i/>
          <w:iCs/>
        </w:rPr>
        <w:t>If compensation for study participants is determined at the timepoint level, a checklist that logs payments per component complete can be programmed to track completed timepoints and payments in one table</w:t>
      </w:r>
    </w:p>
    <w:p w14:paraId="5035380C" w14:textId="2B6AB2BF" w:rsidR="004C5A88" w:rsidRPr="00BF6688" w:rsidRDefault="004C5A88" w:rsidP="00F55E10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BF6688">
        <w:rPr>
          <w:b/>
          <w:color w:val="FFFFFF" w:themeColor="background1"/>
        </w:rPr>
        <w:t>II. Tracking Reports</w:t>
      </w:r>
    </w:p>
    <w:p w14:paraId="7E7F10DC" w14:textId="5D4334A1" w:rsidR="00D53CFD" w:rsidRPr="00CD062B" w:rsidRDefault="00833099" w:rsidP="00CD062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CD062B">
        <w:rPr>
          <w:rFonts w:cstheme="minorHAnsi"/>
          <w:b/>
        </w:rPr>
        <w:t>Contacts with Participants</w:t>
      </w:r>
    </w:p>
    <w:p w14:paraId="111039EF" w14:textId="50E08734" w:rsidR="00833099" w:rsidRDefault="00D53CFD" w:rsidP="00427A88">
      <w:pPr>
        <w:pStyle w:val="ListParagraph"/>
        <w:spacing w:line="240" w:lineRule="auto"/>
        <w:ind w:left="0"/>
        <w:rPr>
          <w:rFonts w:ascii="Calibri" w:eastAsia="Times New Roman" w:hAnsi="Calibri" w:cs="Calibri"/>
          <w:i/>
          <w:iCs/>
          <w:color w:val="000000"/>
        </w:rPr>
      </w:pPr>
      <w:r w:rsidRPr="00D53CFD">
        <w:rPr>
          <w:rFonts w:cstheme="minorHAnsi"/>
          <w:bCs/>
          <w:i/>
          <w:iCs/>
        </w:rPr>
        <w:t xml:space="preserve">This report captures a </w:t>
      </w:r>
      <w:r w:rsidRPr="00D53CFD">
        <w:rPr>
          <w:rFonts w:ascii="Calibri" w:eastAsia="Times New Roman" w:hAnsi="Calibri" w:cs="Calibri"/>
          <w:i/>
          <w:iCs/>
          <w:color w:val="000000"/>
        </w:rPr>
        <w:t>history log of contacts with each participant and corresponding notes</w:t>
      </w:r>
      <w:r>
        <w:rPr>
          <w:rFonts w:ascii="Calibri" w:eastAsia="Times New Roman" w:hAnsi="Calibri" w:cs="Calibri"/>
          <w:i/>
          <w:iCs/>
          <w:color w:val="000000"/>
        </w:rPr>
        <w:t xml:space="preserve"> and is pulled from an </w:t>
      </w:r>
      <w:r w:rsidRPr="00D53CFD">
        <w:rPr>
          <w:rFonts w:ascii="Calibri" w:eastAsia="Times New Roman" w:hAnsi="Calibri" w:cs="Calibri"/>
          <w:i/>
          <w:iCs/>
          <w:color w:val="000000"/>
        </w:rPr>
        <w:t>Entry form</w:t>
      </w:r>
      <w:r>
        <w:rPr>
          <w:rFonts w:ascii="Calibri" w:eastAsia="Times New Roman" w:hAnsi="Calibri" w:cs="Calibri"/>
          <w:i/>
          <w:iCs/>
          <w:color w:val="000000"/>
        </w:rPr>
        <w:t xml:space="preserve"> (that </w:t>
      </w:r>
      <w:r w:rsidRPr="00D53CFD">
        <w:rPr>
          <w:rFonts w:ascii="Calibri" w:eastAsia="Times New Roman" w:hAnsi="Calibri" w:cs="Calibri"/>
          <w:i/>
          <w:iCs/>
          <w:color w:val="000000"/>
        </w:rPr>
        <w:t xml:space="preserve">includes </w:t>
      </w:r>
      <w:r w:rsidR="00D61982" w:rsidRPr="00D53CFD">
        <w:rPr>
          <w:rFonts w:ascii="Calibri" w:eastAsia="Times New Roman" w:hAnsi="Calibri" w:cs="Calibri"/>
          <w:i/>
          <w:iCs/>
          <w:color w:val="000000"/>
        </w:rPr>
        <w:t>FK. ContactReason</w:t>
      </w:r>
      <w:r w:rsidR="00DA56C2">
        <w:rPr>
          <w:rFonts w:ascii="Calibri" w:eastAsia="Times New Roman" w:hAnsi="Calibri" w:cs="Calibri"/>
          <w:i/>
          <w:iCs/>
          <w:color w:val="000000"/>
        </w:rPr>
        <w:t>)</w:t>
      </w:r>
      <w:r w:rsidR="00DA56C2" w:rsidRPr="00D53CFD">
        <w:rPr>
          <w:rFonts w:ascii="Calibri" w:eastAsia="Times New Roman" w:hAnsi="Calibri" w:cs="Calibri"/>
          <w:i/>
          <w:iCs/>
          <w:color w:val="000000"/>
        </w:rPr>
        <w:t>.</w:t>
      </w:r>
      <w:r w:rsidR="00DA56C2">
        <w:rPr>
          <w:rFonts w:ascii="Calibri" w:eastAsia="Times New Roman" w:hAnsi="Calibri" w:cs="Calibri"/>
          <w:i/>
          <w:iCs/>
          <w:color w:val="000000"/>
        </w:rPr>
        <w:t xml:space="preserve"> The</w:t>
      </w:r>
      <w:r>
        <w:rPr>
          <w:rFonts w:ascii="Calibri" w:eastAsia="Times New Roman" w:hAnsi="Calibri" w:cs="Calibri"/>
          <w:i/>
          <w:iCs/>
          <w:color w:val="000000"/>
        </w:rPr>
        <w:t xml:space="preserve"> Entry form can be</w:t>
      </w:r>
      <w:r w:rsidRPr="00D53CFD">
        <w:rPr>
          <w:rFonts w:ascii="Calibri" w:eastAsia="Times New Roman" w:hAnsi="Calibri" w:cs="Calibri"/>
          <w:i/>
          <w:iCs/>
          <w:color w:val="000000"/>
        </w:rPr>
        <w:t xml:space="preserve"> use</w:t>
      </w:r>
      <w:r>
        <w:rPr>
          <w:rFonts w:ascii="Calibri" w:eastAsia="Times New Roman" w:hAnsi="Calibri" w:cs="Calibri"/>
          <w:i/>
          <w:iCs/>
          <w:color w:val="000000"/>
        </w:rPr>
        <w:t>d</w:t>
      </w:r>
      <w:r w:rsidRPr="00D53CFD">
        <w:rPr>
          <w:rFonts w:ascii="Calibri" w:eastAsia="Times New Roman" w:hAnsi="Calibri" w:cs="Calibri"/>
          <w:i/>
          <w:iCs/>
          <w:color w:val="000000"/>
        </w:rPr>
        <w:t xml:space="preserve"> to track scheduled appts as well.</w:t>
      </w:r>
    </w:p>
    <w:p w14:paraId="55D153FF" w14:textId="77777777" w:rsidR="00D6612B" w:rsidRPr="00D6612B" w:rsidRDefault="00D6612B" w:rsidP="00D6612B">
      <w:pPr>
        <w:pStyle w:val="ListParagraph"/>
        <w:spacing w:line="240" w:lineRule="auto"/>
        <w:rPr>
          <w:rFonts w:cstheme="minorHAnsi"/>
          <w:bCs/>
          <w:i/>
          <w:iCs/>
        </w:rPr>
      </w:pPr>
    </w:p>
    <w:p w14:paraId="6F07AB13" w14:textId="67183BDC" w:rsidR="00833099" w:rsidRPr="00D6612B" w:rsidRDefault="00833099" w:rsidP="00CD062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D6612B">
        <w:rPr>
          <w:rFonts w:cstheme="minorHAnsi"/>
          <w:b/>
        </w:rPr>
        <w:t>Participant Due Dates</w:t>
      </w:r>
    </w:p>
    <w:p w14:paraId="27BD433C" w14:textId="40DE94A8" w:rsidR="00D6612B" w:rsidRPr="00427A88" w:rsidRDefault="00D6612B" w:rsidP="00427A88">
      <w:pPr>
        <w:pStyle w:val="ListParagraph"/>
        <w:spacing w:line="240" w:lineRule="auto"/>
        <w:ind w:left="0"/>
        <w:rPr>
          <w:rFonts w:cstheme="minorHAnsi"/>
          <w:bCs/>
          <w:i/>
          <w:iCs/>
        </w:rPr>
      </w:pPr>
      <w:r w:rsidRPr="00427A88">
        <w:rPr>
          <w:rFonts w:cstheme="minorHAnsi"/>
          <w:bCs/>
          <w:i/>
          <w:iCs/>
        </w:rPr>
        <w:t>This report lists IDs that are due (often within 2 weeks) or are overdue for a follow-up visit.  Participants who are due per study follow-up design (usually calculated in a view), but do not have a record in Timepoint Complete table (see above).  Can pull scheduled appts from contact tracking log</w:t>
      </w:r>
    </w:p>
    <w:p w14:paraId="41F25833" w14:textId="2B3FEB99" w:rsidR="0015572B" w:rsidRPr="0015572B" w:rsidRDefault="0015572B" w:rsidP="00427A88">
      <w:pPr>
        <w:spacing w:line="240" w:lineRule="auto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4E3E2320" wp14:editId="01A2EACA">
            <wp:extent cx="5443268" cy="70195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25" t="1190" r="1714" b="1322"/>
                    <a:stretch/>
                  </pic:blipFill>
                  <pic:spPr bwMode="auto">
                    <a:xfrm>
                      <a:off x="0" y="0"/>
                      <a:ext cx="5443575" cy="70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16650" w14:textId="77777777" w:rsidR="00A54A08" w:rsidRDefault="00A54A08" w:rsidP="00F55E10">
      <w:pPr>
        <w:spacing w:line="240" w:lineRule="auto"/>
        <w:contextualSpacing/>
      </w:pPr>
    </w:p>
    <w:sectPr w:rsidR="00A54A08" w:rsidSect="00F55E10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EDD3" w14:textId="77777777" w:rsidR="00AD6528" w:rsidRDefault="00AD6528" w:rsidP="00AD6528">
      <w:pPr>
        <w:spacing w:after="0" w:line="240" w:lineRule="auto"/>
      </w:pPr>
      <w:r>
        <w:separator/>
      </w:r>
    </w:p>
  </w:endnote>
  <w:endnote w:type="continuationSeparator" w:id="0">
    <w:p w14:paraId="012B5822" w14:textId="77777777" w:rsidR="00AD6528" w:rsidRDefault="00AD6528" w:rsidP="00A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07FD" w14:textId="4819C504" w:rsidR="00AD6528" w:rsidRDefault="00AD6528">
    <w:pPr>
      <w:pStyle w:val="Footer"/>
    </w:pPr>
    <w:r>
      <w:t>T. Roncevich SBNC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Last Updated: 3-23-20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D094" w14:textId="77777777" w:rsidR="00AD6528" w:rsidRDefault="00AD6528" w:rsidP="00AD6528">
      <w:pPr>
        <w:spacing w:after="0" w:line="240" w:lineRule="auto"/>
      </w:pPr>
      <w:r>
        <w:separator/>
      </w:r>
    </w:p>
  </w:footnote>
  <w:footnote w:type="continuationSeparator" w:id="0">
    <w:p w14:paraId="0FE0F16E" w14:textId="77777777" w:rsidR="00AD6528" w:rsidRDefault="00AD6528" w:rsidP="00AD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0F3"/>
    <w:multiLevelType w:val="hybridMultilevel"/>
    <w:tmpl w:val="8638B136"/>
    <w:lvl w:ilvl="0" w:tplc="E1004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04D1"/>
    <w:multiLevelType w:val="hybridMultilevel"/>
    <w:tmpl w:val="352C238E"/>
    <w:lvl w:ilvl="0" w:tplc="7FAEBE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05CE"/>
    <w:multiLevelType w:val="hybridMultilevel"/>
    <w:tmpl w:val="DF880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533A2"/>
    <w:multiLevelType w:val="hybridMultilevel"/>
    <w:tmpl w:val="93D0085A"/>
    <w:lvl w:ilvl="0" w:tplc="69CC56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8771634">
    <w:abstractNumId w:val="0"/>
  </w:num>
  <w:num w:numId="2" w16cid:durableId="1055619568">
    <w:abstractNumId w:val="3"/>
  </w:num>
  <w:num w:numId="3" w16cid:durableId="371418271">
    <w:abstractNumId w:val="1"/>
  </w:num>
  <w:num w:numId="4" w16cid:durableId="195220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00"/>
    <w:rsid w:val="0005165A"/>
    <w:rsid w:val="000925E6"/>
    <w:rsid w:val="000E7A00"/>
    <w:rsid w:val="000F19D0"/>
    <w:rsid w:val="0011712F"/>
    <w:rsid w:val="001245FA"/>
    <w:rsid w:val="0015572B"/>
    <w:rsid w:val="002F33DE"/>
    <w:rsid w:val="00393B72"/>
    <w:rsid w:val="003F4F17"/>
    <w:rsid w:val="00427A88"/>
    <w:rsid w:val="0049388A"/>
    <w:rsid w:val="004C177E"/>
    <w:rsid w:val="004C5A88"/>
    <w:rsid w:val="00576804"/>
    <w:rsid w:val="006700EE"/>
    <w:rsid w:val="006D5495"/>
    <w:rsid w:val="006E503F"/>
    <w:rsid w:val="007F3136"/>
    <w:rsid w:val="00833099"/>
    <w:rsid w:val="00862C31"/>
    <w:rsid w:val="0087158B"/>
    <w:rsid w:val="009C7970"/>
    <w:rsid w:val="00A54A08"/>
    <w:rsid w:val="00AD6528"/>
    <w:rsid w:val="00B05BF7"/>
    <w:rsid w:val="00B72C76"/>
    <w:rsid w:val="00BF6688"/>
    <w:rsid w:val="00CD062B"/>
    <w:rsid w:val="00CD30E9"/>
    <w:rsid w:val="00D53CFD"/>
    <w:rsid w:val="00D61982"/>
    <w:rsid w:val="00D6612B"/>
    <w:rsid w:val="00DA56C2"/>
    <w:rsid w:val="00F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CC45"/>
  <w15:chartTrackingRefBased/>
  <w15:docId w15:val="{BC90DBB5-9E87-450B-A90C-166EADF1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25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28"/>
  </w:style>
  <w:style w:type="paragraph" w:styleId="Footer">
    <w:name w:val="footer"/>
    <w:basedOn w:val="Normal"/>
    <w:link w:val="FooterChar"/>
    <w:uiPriority w:val="99"/>
    <w:unhideWhenUsed/>
    <w:rsid w:val="00AD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BCF3BC75A840BE00FEF5F8765CB6" ma:contentTypeVersion="5" ma:contentTypeDescription="Create a new document." ma:contentTypeScope="" ma:versionID="010602d82acd76cc7dbcc5a28f957708">
  <xsd:schema xmlns:xsd="http://www.w3.org/2001/XMLSchema" xmlns:xs="http://www.w3.org/2001/XMLSchema" xmlns:p="http://schemas.microsoft.com/office/2006/metadata/properties" xmlns:ns2="e81b103b-5dfe-44c3-a44c-e82080ba2bc7" xmlns:ns3="afc1b804-c56c-461c-99a6-d25607966d39" targetNamespace="http://schemas.microsoft.com/office/2006/metadata/properties" ma:root="true" ma:fieldsID="0f8f63e45212b4b00c4cf4dbfc5a15ac" ns2:_="" ns3:_="">
    <xsd:import namespace="e81b103b-5dfe-44c3-a44c-e82080ba2bc7"/>
    <xsd:import namespace="afc1b804-c56c-461c-99a6-d25607966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03b-5dfe-44c3-a44c-e82080ba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b804-c56c-461c-99a6-d2560796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A3A3-04FD-4282-B7DD-A82A215C9E18}">
  <ds:schemaRefs>
    <ds:schemaRef ds:uri="http://schemas.microsoft.com/office/2006/metadata/properties"/>
    <ds:schemaRef ds:uri="http://schemas.microsoft.com/office/infopath/2007/PartnerControls"/>
    <ds:schemaRef ds:uri="29b4e7c2-ddf6-48a6-a3dd-6ea1b2a04161"/>
    <ds:schemaRef ds:uri="e14cfe56-5872-44ef-b62b-9d182fd78611"/>
  </ds:schemaRefs>
</ds:datastoreItem>
</file>

<file path=customXml/itemProps2.xml><?xml version="1.0" encoding="utf-8"?>
<ds:datastoreItem xmlns:ds="http://schemas.openxmlformats.org/officeDocument/2006/customXml" ds:itemID="{3E470FAA-7CD4-4B03-BB00-58C227C81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DE3CA-DF79-4DD7-B32D-313A50E85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Roncevich, Tiffany</dc:creator>
  <cp:keywords/>
  <dc:description/>
  <cp:lastModifiedBy>Sweet, KJ</cp:lastModifiedBy>
  <cp:revision>20</cp:revision>
  <dcterms:created xsi:type="dcterms:W3CDTF">2022-08-02T20:23:00Z</dcterms:created>
  <dcterms:modified xsi:type="dcterms:W3CDTF">2022-08-02T20:23:00Z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0x0101005F68BCF3BC75A840BE00FEF5F8765CB6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2022-08-02T20:23:36Z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5caf9e98-4141-4eaf-a910-1b69cc9718ab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